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20" w:lineRule="exact"/>
        <w:rPr>
          <w:rFonts w:asci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eastAsia="黑体" w:cs="黑体"/>
          <w:sz w:val="32"/>
          <w:szCs w:val="32"/>
          <w:lang w:eastAsia="zh-CN" w:bidi="ar-SA"/>
        </w:rPr>
        <w:t>附件</w:t>
      </w:r>
      <w:r>
        <w:rPr>
          <w:rFonts w:hint="eastAsia" w:ascii="黑体" w:eastAsia="黑体" w:cs="黑体"/>
          <w:sz w:val="32"/>
          <w:szCs w:val="32"/>
          <w:lang w:val="en-US" w:eastAsia="zh-CN" w:bidi="ar-SA"/>
        </w:rPr>
        <w:t>1</w:t>
      </w:r>
    </w:p>
    <w:p>
      <w:pPr>
        <w:pStyle w:val="2"/>
        <w:keepNext w:val="0"/>
        <w:keepLines w:val="0"/>
        <w:pageBreakBefore w:val="0"/>
        <w:widowControl w:val="0"/>
        <w:spacing w:line="62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20" w:lineRule="exact"/>
        <w:jc w:val="center"/>
        <w:rPr>
          <w:rFonts w:hint="eastAsia" w:ascii="方正小标宋简体" w:eastAsia="方正小标宋简体" w:cs="黑体"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 w:cs="黑体"/>
          <w:sz w:val="44"/>
          <w:szCs w:val="44"/>
          <w:lang w:val="en-US" w:eastAsia="zh-CN" w:bidi="ar-SA"/>
        </w:rPr>
        <w:t>一般</w:t>
      </w:r>
      <w:r>
        <w:rPr>
          <w:rFonts w:hint="eastAsia" w:ascii="方正小标宋简体" w:eastAsia="方正小标宋简体" w:cs="黑体"/>
          <w:sz w:val="44"/>
          <w:szCs w:val="44"/>
        </w:rPr>
        <w:t>项目</w:t>
      </w:r>
      <w:r>
        <w:rPr>
          <w:rFonts w:hint="eastAsia" w:ascii="方正小标宋简体" w:eastAsia="方正小标宋简体" w:cs="黑体"/>
          <w:sz w:val="44"/>
          <w:szCs w:val="44"/>
          <w:lang w:val="en-US" w:eastAsia="zh-CN" w:bidi="ar-SA"/>
        </w:rPr>
        <w:t>选题范围</w:t>
      </w:r>
    </w:p>
    <w:p>
      <w:pPr>
        <w:pStyle w:val="2"/>
        <w:spacing w:line="620" w:lineRule="exac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伟大建党精神在甘肃的传承与发展对策研究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新时代甘肃弘扬伟大建党精神的实践路径研究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伟大建党精神转化为推动甘肃发展的实践动力研究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伟大建党精神融入高校思政课教学的路径与方法研究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伟大建党精神融入甘肃全面从严治党实践研究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eastAsia="仿宋_GB2312" w:cs="仿宋_GB2312"/>
          <w:sz w:val="32"/>
          <w:szCs w:val="32"/>
        </w:rPr>
        <w:t>“双碳”目标与甘肃新能源产业高质量发展对策研究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eastAsia="仿宋_GB2312" w:cs="仿宋_GB2312"/>
          <w:sz w:val="32"/>
          <w:szCs w:val="32"/>
        </w:rPr>
        <w:t>提升兰州新区产业链现代化水平对策研究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eastAsia="仿宋_GB2312" w:cs="仿宋_GB2312"/>
          <w:sz w:val="32"/>
          <w:szCs w:val="32"/>
        </w:rPr>
        <w:t>我省工业“专精特新”产品创新途径研究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eastAsia="仿宋_GB2312" w:cs="仿宋_GB2312"/>
          <w:sz w:val="32"/>
          <w:szCs w:val="32"/>
        </w:rPr>
        <w:t>加快我省新材料产业发展的对策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eastAsia="仿宋_GB2312" w:cs="仿宋_GB2312"/>
          <w:sz w:val="32"/>
          <w:szCs w:val="32"/>
        </w:rPr>
        <w:t>我省工业产业链协同降碳机制研究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传统工业“三化”改造效果评价及高端化发展研究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数字金融赋能甘肃先进制造业发展的机制和对策研究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实施“强省会”行动的战略和对策研究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甘肃省巩固壮大实体经济根基对策研究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甘肃省构建双循环新发展格局对策研究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甘肃省改善营商环境扩大引入增量对策研究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甘肃省农村集体经济发展提升对策研究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我省强县域的短板弱项及突破方向研究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甘肃省县域富民产业发展问题与对策研究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甘肃省国家农业现代化示范区高质量发展研究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甘肃省实施乡村建设行动的问题与对策研究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甘肃省农村宅基地“三权分置”改革试点经验与对策研究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甘肃县域碳排放差异及碳补偿机制研究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eastAsia="仿宋_GB2312" w:cs="仿宋_GB2312"/>
          <w:sz w:val="32"/>
          <w:szCs w:val="32"/>
        </w:rPr>
        <w:t>甘肃省数字经济发展问题与对策研究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加快实施甘肃省“强科技”行动的对策研究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抢抓</w:t>
      </w:r>
      <w:r>
        <w:rPr>
          <w:rFonts w:hint="eastAsia" w:ascii="仿宋_GB2312" w:eastAsia="仿宋_GB2312" w:cs="仿宋_GB2312"/>
          <w:sz w:val="32"/>
          <w:szCs w:val="32"/>
        </w:rPr>
        <w:t>“东数西算”工程发展机遇研究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“双碳”背景下甘肃实现经济跨越发展路径研究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甘肃省大气污染与二氧化碳减排降碳联动机制研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文旅产业发展与黄河流域生态保护协同推进关键措施研究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兰州新区国家级绿色金融示范区带动企业绿色发展对策研究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甘肃省全民数字经济素养提升策略和路径研究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“一带一路”建设与甘肃经济高质量发展对策研究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甘肃融入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 w:cs="仿宋_GB2312"/>
          <w:sz w:val="32"/>
          <w:szCs w:val="32"/>
        </w:rPr>
        <w:t>一带一路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eastAsia="仿宋_GB2312" w:cs="仿宋_GB2312"/>
          <w:sz w:val="32"/>
          <w:szCs w:val="32"/>
        </w:rPr>
        <w:t>国际陆海贸易新通道进展评估研究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深化体制机制改革支持甘肃民营经济高质量发展研究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深化甘肃省放管服改革的对策研究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甘肃对外贸易高质量发展对策研究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甘肃省城乡物流体系可持续发展对策研究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eastAsia="仿宋_GB2312" w:cs="仿宋_GB2312"/>
          <w:sz w:val="32"/>
          <w:szCs w:val="32"/>
        </w:rPr>
        <w:t>共建兰西城市群的政策协同机制研究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甘肃省黄河文化遗产保护法律问题研究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甘肃省数字经济发展的法治保障机制研究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黄河上游生态保护的司法协同机制研究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甘肃打造市场化法治化国际化营商环境策略研究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甘肃省实现共同富裕的路径与对策研究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甘肃省缩小城乡收入差距的对策研究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eastAsia="仿宋_GB2312" w:cs="仿宋_GB2312"/>
          <w:sz w:val="32"/>
          <w:szCs w:val="32"/>
        </w:rPr>
        <w:t>加快甘肃省普惠托育服务体系研究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加快构建甘肃省地方特色养老服务体系对策研究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藏族《四部医典》的唐卡艺术展示方式研究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eastAsia="仿宋_GB2312" w:cs="仿宋_GB2312"/>
          <w:sz w:val="32"/>
          <w:szCs w:val="32"/>
        </w:rPr>
        <w:t>促进甘肃省城乡居民多渠道灵活就业对策研究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甘肃简牍发现史研究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甘肃秦始皇长城遗址调查研究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黄河沿线乡村文化资源保护与“特色村”建设同步推进研究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甘肃民间收藏的地域古文献研究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甘肃民间传统节日所见中华文化认同研究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甘肃省非遗文化产业效率与经济增长耦合协调发展研究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eastAsia="仿宋_GB2312" w:cs="仿宋_GB2312"/>
          <w:sz w:val="32"/>
          <w:szCs w:val="32"/>
        </w:rPr>
        <w:t>破解唯“分数论”，加强少先队员光荣感，做好推优入团工作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adjustRightInd/>
        <w:snapToGrid/>
        <w:spacing w:line="580" w:lineRule="exact"/>
        <w:ind w:left="0"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eastAsia="仿宋_GB2312" w:cs="仿宋_GB2312"/>
          <w:sz w:val="32"/>
          <w:szCs w:val="32"/>
        </w:rPr>
        <w:t>新时代甘肃省少先队员社会主义核心价值观培育策略研究</w:t>
      </w:r>
    </w:p>
    <w:p>
      <w:bookmarkStart w:id="0" w:name="_GoBack"/>
      <w:bookmarkEnd w:id="0"/>
    </w:p>
    <w:sectPr>
      <w:pgSz w:w="11906" w:h="16838"/>
      <w:pgMar w:top="1644" w:right="1474" w:bottom="1417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DEE8E8"/>
    <w:multiLevelType w:val="singleLevel"/>
    <w:tmpl w:val="F7DEE8E8"/>
    <w:lvl w:ilvl="0" w:tentative="0">
      <w:start w:val="1"/>
      <w:numFmt w:val="decimal"/>
      <w:suff w:val="nothing"/>
      <w:lvlText w:val="%1．"/>
      <w:lvlJc w:val="left"/>
      <w:pPr>
        <w:tabs>
          <w:tab w:val="left" w:pos="0"/>
        </w:tabs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EF40A"/>
    <w:rsid w:val="7BFEF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  <w:textAlignment w:val="baseline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2022-04-02T09:16:00Z</dcterms:created>
  <dc:creator>baixin</dc:creator>
  <cp:lastModifiedBy>baixin</cp:lastModifiedBy>
  <dcterms:modified xsi:type="dcterms:W3CDTF">2022-04-02T09:18:11Z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2052-11.8.2.9346</vt:lpwstr>
  </property>
</Properties>
</file>